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center"/>
        <w:rPr/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TWO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ONE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3RD APRIL,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7"/>
        <w:gridCol w:w="3933"/>
      </w:tblGrid>
      <w:tr>
        <w:trPr>
          <w:cantSplit w:val="false"/>
          <w:tblHeader w:val="false"/>
          <w:jc w:val="left"/>
        </w:trPr>
        <w:tc>
          <w:tcPr>
            <w:tcW w:w="5417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SUBJECT: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3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WEEDS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29th April,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9:20-10:00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Uses Of Weeds </w:t>
            </w:r>
          </w:p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Weeds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state the importance of weeds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 weeds as source of food for man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weeds as source of manure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Sample of weeds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2975"/>
        <w:gridCol w:w="1795"/>
        <w:gridCol w:w="1394"/>
      </w:tblGrid>
      <w:tr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1.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State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the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characteristics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   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of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weeds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List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common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Mention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botanical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names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common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5773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State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importance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source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food 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man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source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manure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1. Uses Of Weeds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states the uses of weeds as follows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_  For manure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 _ As food for man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>_ For animal feed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The teacher asks the students to state it afterwards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2. Source Of Food For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Man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 weeds as source of food for man  while the teacher explains further thus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Some weeds are used as vegetables by man eg water leaf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 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Source Of Manure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discusses with the students, weeds as source of manures thus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Weeds add organic matter and nutrients to the soil when buried in the soil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it afterwards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state the uses of weeds.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 weeds as source of food for man 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discuss weeds as source of manure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mention the various usefulness of weeds to man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State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importance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source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food 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man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weeds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source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manure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State five uses of weeds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462</Words>
  <Characters>2397</Characters>
  <Application>WPS Office</Application>
  <Paragraphs>213</Paragraphs>
  <CharactersWithSpaces>2958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Infinix X6511B</lastModifiedBy>
  <dcterms:modified xsi:type="dcterms:W3CDTF">2024-04-26T10:46:27Z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e7c4da3207c642bdb97f714e8622d3e3</vt:lpwstr>
  </property>
</Properties>
</file>