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/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TW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TWO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1"/>
        <w:gridCol w:w="3939"/>
      </w:tblGrid>
      <w:tr>
        <w:trPr>
          <w:cantSplit w:val="false"/>
          <w:tblHeader w:val="false"/>
          <w:jc w:val="left"/>
        </w:trPr>
        <w:tc>
          <w:tcPr>
            <w:tcW w:w="5411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SUBJECT: FISHERIES </w:t>
            </w:r>
          </w:p>
        </w:tc>
        <w:tc>
          <w:tcPr>
            <w:tcW w:w="3939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9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 HARVESTING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18th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 3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PRACTICAL </w:t>
            </w: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 HARVESTING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3379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identify fishing gears.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identify the methods of harvesting  fish.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harvest fish from pond.</w:t>
            </w: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 fishing gears and fish pond stock with fish.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  <w:gridCol w:w="3214"/>
        <w:gridCol w:w="1681"/>
        <w:gridCol w:w="1338"/>
      </w:tblGrid>
      <w:tr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craft.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List various types of fishing crafts.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 fishing craft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841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Identify fishing gears.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Identify the methods of harvesting  fish.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Harvest fish from pond.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72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IDENTIFICATION OF FISHING GEARS 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guides the students to identify some fishing gears.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Such as hook and line, fish traps, fishing basket etc.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IDENTIFICATION OF METHODS OF FISHING.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identifies with the students different methods of fishing such as netting, trapping etc.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HARVESTING OF FISH.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guides the students to harvest fish from pond.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Identify fishing gears.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Identify methods of fishing.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students harvest fish from the pond.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demonstrate how fish is being harvested from the pond.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Identify fishing gears.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Identify the methods of harvesting  fish.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Harvest fish from pond.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Practice fish farming at home.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396</Words>
  <Characters>2267</Characters>
  <Application>WPS Office</Application>
  <Paragraphs>176</Paragraphs>
  <CharactersWithSpaces>2795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2024-09-16T10:55:24Z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cf1c260e21044858866bd73a6bc41d4f</vt:lpwstr>
  </property>
</Properties>
</file>